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'Baptistengemeinde' Bochum - Immanuelskirche und an die Evangelisch-Freikirchliche Gemeinde Gelsenkirchen - Erlöserkirche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an die Evangelisch-Freikirchliche Gemeinde (Baptistengemeinde) Bochum - Immanuelskirche erfolgt auf der Grundlage der Gemeindeverfassung vom 4. März 1973/24. Februar 1974/15. Juni 1975.</w:t>
      </w:r>
    </w:p>
    <w:p>
      <w:r>
        <w:t xml:space="preserve">Die Verleihung der Rechte einer Körperschaft des öffentlichen Rechts an die Evangelisch-Freikirchliche Gemeinde Gelsenkirchen - Erlöserkirche erfolgt auf der Grundlage der Gemeindesatzung vom 24. Oktober 1971/7. April 1974/8. Juni 1975.</w:t>
      </w:r>
    </w:p>
    <w:p>
      <w:r>
        <w:t xml:space="preserve">Änderungen sind dem Kultusminister anzuzeigen.</w:t>
      </w:r>
    </w:p>
    <w:p>
      <w:r>
        <w:rPr>
          <w:color w:val="555555"/>
          <w:sz w:val="17"/>
        </w:rPr>
        <w:t xml:space="preserve">Zitiervorschlag: § 2 NW_27511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