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NW_27506 (Nordrhein-Westfalen)</w:t>
      </w:r>
    </w:p>
    <w:p>
      <w:r>
        <w:rPr>
          <w:color w:val="555555"/>
          <w:sz w:val="18"/>
        </w:rPr>
        <w:t xml:space="preserve">Gesetz betreffend die Errichtung einer gemeinsamen Versorgungskasse für Pfarrer und Kirchenbeamte der Evangelischen Kirche im Rheinland, der Evangelischen Kirche von Westfalen und der Lippischen Landeskirche als Anstalt des öffentlichen Rechts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kirchliche Errichtungsakt und die Satzung der Versorgungskasse bedürfen der Genehmigung durch den Kultusminister des Landes Nordrhein-Westfalen. Das gleiche gilt für Satzungsänderungen, soweit sie den Zweck, die Aufgabe und die Vertretung der Kasse betreffen. Sonstige Änderungen sind dem Kultusminister anzuzeigen.</w:t>
      </w:r>
    </w:p>
    <w:p>
      <w:r>
        <w:rPr>
          <w:color w:val="555555"/>
          <w:sz w:val="17"/>
        </w:rPr>
        <w:t xml:space="preserve">Zitiervorschlag: § 3 NW_27506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https://recht.nulegal.eu/gesetze/NW_27506/3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