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NW_27501 (Nordrhein-Westfalen)</w:t>
      </w:r>
    </w:p>
    <w:p>
      <w:r>
        <w:rPr>
          <w:color w:val="555555"/>
          <w:sz w:val="18"/>
        </w:rPr>
        <w:t xml:space="preserve">Gesetz zu der Vereinbarung zwischen dem Land Nordrhein-Westfalen und der Lippischen Landeskirche vom 26. November 1959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Vereinbarung wird vorbehaltlich der Bestätigung durch ein Landesgesetz abgeschlossen.</w:t>
      </w:r>
    </w:p>
    <w:p>
      <w:r>
        <w:t xml:space="preserve">Sie tritt mit dem Tage in Kraft, an dem der Lippischen Landeskirche die Erklärung des Landes Nordrhein-Westfalen zugegangen ist, daß die Vereinbarung durch Landesgesetz bestätigt worden ist.</w:t>
      </w:r>
    </w:p>
    <w:p>
      <w:r>
        <w:t xml:space="preserve">Detmold, den 26. November 1959</w:t>
      </w:r>
    </w:p>
    <w:p>
      <w:r>
        <w:t xml:space="preserve">gez. Schütz</w:t>
      </w:r>
    </w:p>
    <w:p>
      <w:r>
        <w:t xml:space="preserve">Kultusminister des Landes Nordrhein-Westfalen</w:t>
      </w:r>
    </w:p>
    <w:p>
      <w:r>
        <w:t xml:space="preserve">gez. Smidt</w:t>
      </w:r>
    </w:p>
    <w:p>
      <w:r>
        <w:t xml:space="preserve">Landessuperintendent</w:t>
      </w:r>
    </w:p>
    <w:p>
      <w:r>
        <w:t xml:space="preserve">gez. Blome</w:t>
      </w:r>
    </w:p>
    <w:p>
      <w:r>
        <w:t xml:space="preserve">Präses</w:t>
      </w:r>
    </w:p>
    <w:p>
      <w:r>
        <w:t xml:space="preserve">gez. Dr. von Hanstein</w:t>
      </w:r>
    </w:p>
    <w:p>
      <w:r>
        <w:t xml:space="preserve">Rechtskundiger Kirchenrat</w:t>
      </w:r>
    </w:p>
    <w:p>
      <w:r>
        <w:rPr>
          <w:color w:val="555555"/>
          <w:sz w:val="17"/>
        </w:rPr>
        <w:t xml:space="preserve">Zitiervorschlag: § 4 NW_27501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