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NW_27501 (Nordrhein-Westfalen)</w:t>
      </w:r>
    </w:p>
    <w:p>
      <w:r>
        <w:rPr>
          <w:color w:val="555555"/>
          <w:sz w:val="18"/>
        </w:rPr>
        <w:t xml:space="preserve">Gesetz zu der Vereinbarung zwischen dem Land Nordrhein-Westfalen und der Lippischen Landeskirche vom 26. November 1959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Beteiligten sind darüber einig, daß mit dieser Vereinbarung die eingangs genannten Rechte der Lippischen Landeskirche abgegolten sind und Ansprüche aus ihnen auch für die Vergangenheit nicht mehr geltend gemacht werden.</w:t>
      </w:r>
    </w:p>
    <w:p>
      <w:r>
        <w:rPr>
          <w:color w:val="555555"/>
          <w:sz w:val="17"/>
        </w:rPr>
        <w:t xml:space="preserve">Zitiervorschlag: § 3 NW_27501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