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NW_27497 (Nordrhein-Westfalen)</w:t>
      </w:r>
    </w:p>
    <w:p>
      <w:r>
        <w:rPr>
          <w:color w:val="555555"/>
          <w:sz w:val="18"/>
        </w:rPr>
        <w:t xml:space="preserve">Gesetz zu dem Vertrage des Landes Nordrhein-Westfalen mit dem Heiligen Stuhle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26. Februar 1957 in Kraft. Der Tag, an dem der Vertrag gemäß dessen § 9 in Kraft tritt, ist im Gesetz- und Verordnungsblatt für das Land Nordrhein-Westfalen bekanntzumachen</w:t>
      </w:r>
    </w:p>
    <w:p>
      <w:r>
        <w:t xml:space="preserve">Die Landesregierung</w:t>
      </w:r>
    </w:p>
    <w:p>
      <w:r>
        <w:t xml:space="preserve">des Landes Nordrhein-Westfalen.</w:t>
      </w:r>
    </w:p>
    <w:p>
      <w:r>
        <w:rPr>
          <w:color w:val="555555"/>
          <w:sz w:val="17"/>
        </w:rPr>
        <w:t xml:space="preserve">Zitiervorschlag: Art 2 NW_27497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