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NW_27482 (Nordrhein-Westfalen)</w:t>
      </w:r>
    </w:p>
    <w:p>
      <w:r>
        <w:rPr>
          <w:color w:val="555555"/>
          <w:sz w:val="18"/>
        </w:rPr>
        <w:t xml:space="preserve">Verordnung über Zuständigkeiten nach dem Gräbergesetz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Oktober 1969</w:t>
      </w:r>
    </w:p>
    <w:p>
      <w:r>
        <w:t xml:space="preserve">Auf Grund des § 12 Abs. 1 des Gräbergesetzes vom 1. Juli 1965 (BGBl. I S. 589) wird verordnet:</w:t>
      </w:r>
    </w:p>
    <w:p>
      <w:r>
        <w:rPr>
          <w:color w:val="555555"/>
          <w:sz w:val="17"/>
        </w:rPr>
        <w:t xml:space="preserve">Zitiervorschlag: Volltext NW_27482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