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NW_27482 (Nordrhein-Westfalen)</w:t>
      </w:r>
    </w:p>
    <w:p>
      <w:r>
        <w:rPr>
          <w:color w:val="555555"/>
          <w:sz w:val="18"/>
        </w:rPr>
        <w:t xml:space="preserve">Verordnung über Zuständigkeiten nach dem Gräbergesetz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NW_27482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