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NW_27482 (Nordrhein-Westfalen)</w:t>
      </w:r>
    </w:p>
    <w:p>
      <w:r>
        <w:rPr>
          <w:color w:val="555555"/>
          <w:sz w:val="18"/>
        </w:rPr>
        <w:t xml:space="preserve">Verordnung über Zuständigkeiten nach dem Gräbergesetz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Landräte als untere staatliche Verwaltungsbehörden, für kreisfreie Städte die Bezirksregierungen, sind zuständig</w:t>
      </w:r>
    </w:p>
    <w:p>
      <w:r>
        <w:t xml:space="preserve">1. für die Entscheidung, ob ein Grab im Zweifelsfall als Grab im Sinne des § 1 Abs. 2 des Gesetzes anzusehen ist,</w:t>
      </w:r>
    </w:p>
    <w:p>
      <w:r>
        <w:t xml:space="preserve">2. für die Zulassung von Verlegungen nach § 6 Abs. 1 des Gesetzes.</w:t>
      </w:r>
    </w:p>
    <w:p>
      <w:r>
        <w:t xml:space="preserve">(2) Die Bezirksregierungen sind im übrigen zuständig</w:t>
      </w:r>
    </w:p>
    <w:p>
      <w:r>
        <w:t xml:space="preserve">1. für die Festsetzung und Zahlung der Ruherechtsentschädigung nach § 3 des Gesetzes,</w:t>
      </w:r>
    </w:p>
    <w:p>
      <w:r>
        <w:t xml:space="preserve">2. für die Übernahme eines Grundstückes nach § 4 und den Ankauf eines Grundstückes nach § 10 Abs. 2 Nr. 2 in Verbindung mit § 12 Abs. 2 des Gesetzes,</w:t>
      </w:r>
    </w:p>
    <w:p>
      <w:r>
        <w:t xml:space="preserve">3. für die Bewilligung und Verteilung der zur Anlegung, Instandsetzung und Pflege von Gräbern bereitgestellten Bundes- und Landesmittel,</w:t>
      </w:r>
    </w:p>
    <w:p>
      <w:r>
        <w:t xml:space="preserve">4. für die Anordnung von Ausbettungen und Identifizierungen namentlich unbekannter Toter nach § 8 des Gesetzes.</w:t>
      </w:r>
    </w:p>
    <w:p>
      <w:r>
        <w:rPr>
          <w:color w:val="555555"/>
          <w:sz w:val="17"/>
        </w:rPr>
        <w:t xml:space="preserve">Zitiervorschlag: § 2 NW_27482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https://recht.nulegal.eu/gesetze/NW_27482/2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