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NW_27482 (Nordrhein-Westfalen)</w:t>
      </w:r>
    </w:p>
    <w:p>
      <w:r>
        <w:rPr>
          <w:color w:val="555555"/>
          <w:sz w:val="18"/>
        </w:rPr>
        <w:t xml:space="preserve">Verordnung über Zuständigkeiten nach dem Gräbergesetz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sind vorbehaltlich der in Absatz 3 geregelten Ausnahmen zuständig</w:t>
      </w:r>
    </w:p>
    <w:p>
      <w:r>
        <w:t xml:space="preserve">1. für die Feststellung der in ihrem Gebiet liegenden Gräber nach § 1 Abs. 2 des Gesetzes, für ihren Nachweis in Listen und für die Laufendhaltung dieser Listen (§ 5 Abs. 1 des Gesetzes),</w:t>
      </w:r>
    </w:p>
    <w:p>
      <w:r>
        <w:t xml:space="preserve">2. für die Erteilung einer Auskunft nach § 5 Abs. 2 des Gesetzes,</w:t>
      </w:r>
    </w:p>
    <w:p>
      <w:r>
        <w:t xml:space="preserve">3. für die Maßnahmen zur Erhaltung (Anlegung, Instandhaltung und Pflege) der Gräber nach § 5 Abs. 3 des Gesetzes,</w:t>
      </w:r>
    </w:p>
    <w:p>
      <w:r>
        <w:t xml:space="preserve">4. für die Entscheidung über die Beisetzung in einer geschlossenen Begräbnisstätte in den Fällen des § 16 Nr. 2 des Gesetzes.</w:t>
      </w:r>
    </w:p>
    <w:p>
      <w:r>
        <w:t xml:space="preserve">(2) Die Zuständigkeit erstreckt sich auf alle Gräber nach § 1 Abs. 2 des Gesetzes innerhalb des Gemeindegebietes, auch wenn sie auf nicht kommunalen Friedhöfen oder außerhalb von Friedhöfen liegen.</w:t>
      </w:r>
    </w:p>
    <w:p>
      <w:r>
        <w:t xml:space="preserve">(3) Die Zuständigkeit gemäß Absatz 1 liegt für Gräber auf kreiseigenen oder von einem Kreis verwalteten Ehrenfriedhöfen bei den Kreisen.</w:t>
      </w:r>
    </w:p>
    <w:p>
      <w:r>
        <w:rPr>
          <w:color w:val="555555"/>
          <w:sz w:val="17"/>
        </w:rPr>
        <w:t xml:space="preserve">Zitiervorschlag: § 1 NW_27482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