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NW_27479 (Nordrhein-Westfalen)</w:t>
      </w:r>
    </w:p>
    <w:p>
      <w:r>
        <w:rPr>
          <w:color w:val="555555"/>
          <w:sz w:val="18"/>
        </w:rPr>
        <w:t xml:space="preserve">Verordnung zur Regelung von Zuständigkeiten auf dem Gebiete des Vereinswesens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Tage nach ihrer Verkündung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t xml:space="preserve">Hinweis</w:t>
      </w:r>
    </w:p>
    <w:p>
      <w:r>
        <w:t xml:space="preserve">Wiederherstellung des Verordnungsranges</w:t>
      </w:r>
    </w:p>
    <w:p>
      <w:r>
        <w:t xml:space="preserve">(Artikel 270 des Zweiten Befristungsgesetzes vom 5.4.2005 (GV. NRW. S. 274))</w:t>
      </w:r>
    </w:p>
    <w:p>
      <w:r>
        <w:t xml:space="preserve">Die in diesem Gesetz erlassenen oder geänderten Rechtsverordnungen können aufgrund der jeweils einschlägigen Verordnungsermächtigungen durch Rechtsverordnung geändert werden.</w:t>
      </w:r>
    </w:p>
    <w:p>
      <w:r>
        <w:rPr>
          <w:color w:val="555555"/>
          <w:sz w:val="17"/>
        </w:rPr>
        <w:t xml:space="preserve">Zitiervorschlag: § 3 NW_27479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https://recht.nulegal.eu/gesetze/NW_27479/3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