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NW_27470 (Nordrhein-Westfalen)</w:t>
      </w:r>
    </w:p>
    <w:p>
      <w:r>
        <w:rPr>
          <w:color w:val="555555"/>
          <w:sz w:val="18"/>
        </w:rPr>
        <w:t xml:space="preserve">Verordnung über die Bestimmung Großer kreisangehöriger Städte und Mittlerer kreisangehöriger Städte zu örtlichen Trägern der öffentlichen Jugendhilfe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1992 in Kraft.</w:t>
      </w:r>
    </w:p>
    <w:p>
      <w:r>
        <w:t xml:space="preserve">Diese Verordnung wird erlassen</w:t>
      </w:r>
    </w:p>
    <w:p>
      <w:r>
        <w:t xml:space="preserve">a) vom Ministerium für Arbeit, Gesundheit und Soziales aufgrund des § 2 des Ersten Gesetzes zur Ausführung des Kinder- und Jugendhilfegesetzes - AG-KJHG - vom 12. Dezember 1990 (GV. NW. S. 664) und</w:t>
      </w:r>
    </w:p>
    <w:p>
      <w:r>
        <w:t xml:space="preserve">b) vom Innenministerium im Einvernehmen mit dem Ministerium für Arbeit, Gesundheit und Soziales aufgrund des § 5 Abs. 6 des Landesorganisationsgesetzes vom 10. Juli 1962 (GV. NW. S. 421), zuletzt geändert durch Gesetz vom 14. Dezember 1989 (GV. NW. S. 678).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NW_27470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https://recht.nulegal.eu/gesetze/NW_27470/2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