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NW_27464 (Nordrhein-Westfalen)</w:t>
      </w:r>
    </w:p>
    <w:p>
      <w:r>
        <w:rPr>
          <w:color w:val="555555"/>
          <w:sz w:val="18"/>
        </w:rPr>
        <w:t xml:space="preserve">Sonderurlaubsgesetz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Regelungen in Gesetzen, Rechtsverordnungen und Verträgen, die dem Arbeitnehmer weitergehende Ansprüche gewähren, bleiben unberührt.</w:t>
      </w:r>
    </w:p>
    <w:p>
      <w:r>
        <w:t xml:space="preserve">(2) Die Gewährung von Sonderurlaub für Angehörige des öffentlichen Dienstes als ehrenamtliche Mitarbeiter in der Jugendhilfe richtet sich nach den geltenden Vorschriften.</w:t>
      </w:r>
    </w:p>
    <w:p>
      <w:r>
        <w:rPr>
          <w:color w:val="555555"/>
          <w:sz w:val="17"/>
        </w:rPr>
        <w:t xml:space="preserve">Zitiervorschlag: § 7 NW_27464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https://recht.nulegal.eu/gesetze/NW_27464/7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