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NW_27464 (Nordrhein-Westfalen)</w:t>
      </w:r>
    </w:p>
    <w:p>
      <w:r>
        <w:rPr>
          <w:color w:val="555555"/>
          <w:sz w:val="18"/>
        </w:rPr>
        <w:t xml:space="preserve">Sonderurlaubsgesetz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Sonderurlaub ist vom Berechtigten mit Zustimmung des Trägers der in § 1 genannten Maßnahmen zu beantragen. Der Antrag ist spätestens sechs Wochen vor dem beabsichtigten Urlaubsantritt beim Arbeitgeber einzureichen; über ihn ist innerhalb angemessener Frist zu entscheiden.</w:t>
      </w:r>
    </w:p>
    <w:p>
      <w:r>
        <w:t xml:space="preserve">(2) Dem Antrag auf Sonderurlaub ist stattzugeben, wenn die Voraussetzungen der §§ 1 und 2 vorliegen. Eine Verpflichtung zur Stattgabe besteht nicht, wenn im Einzelfall der Gewährung von Sonderurlaub ein unabweisbares betriebliches Interesse entgegensteht. Die Beteiligung des Betriebsrats richtet sich nach den Vorschriften des Betriebsverfassungsgesetzes.</w:t>
      </w:r>
    </w:p>
    <w:p>
      <w:r>
        <w:rPr>
          <w:color w:val="555555"/>
          <w:sz w:val="17"/>
        </w:rPr>
        <w:t xml:space="preserve">Zitiervorschlag: § 3 NW_27464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