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NW_27455 (Nordrhein-Westfalen) — Verwaltung der Forschungsmittel</w:t>
      </w:r>
    </w:p>
    <w:p>
      <w:r>
        <w:rPr>
          <w:color w:val="555555"/>
          <w:sz w:val="18"/>
        </w:rPr>
        <w:t xml:space="preserve">Bekanntmachung des Verwaltungsabkommens über die Forschung auf dem Gebiet des Brandschutz- und Feuerwehrwesens vom 26. August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Land Baden-Württemberg obliegt die Verwaltung der Forschungsmittel (§ 5 Abs. 1). Verwendungsnachweise über Forschungsaufträge des Instituts der Feuerwehr (IdF) werden vom Land Sachsen-Anhalt auf ihre sachliche und rechnerische Richtigkeit überprüft und nach Feststellung der sachlichen und rechnerischen Richtigkeit dem Land Baden-Württemberg übermittelt.</w:t>
      </w:r>
    </w:p>
    <w:p>
      <w:r>
        <w:t xml:space="preserve">(2) Das Land Baden-Württemberg leitet den Ländern nach Ablauf des Haushaltsjahres einen in Anlehnung an den Arbeitsplan (Haushaltsplan) aufgestellten Verwendungsnachweis zu.</w:t>
      </w:r>
    </w:p>
    <w:p>
      <w:r>
        <w:rPr>
          <w:color w:val="555555"/>
          <w:sz w:val="17"/>
        </w:rPr>
        <w:t xml:space="preserve">Zitiervorschlag: § 6 NW_27455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https://recht.nulegal.eu/gesetze/NW_27455/6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