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NW_27439 (Nordrhein-Westfalen) — Inkrafttreten</w:t>
      </w:r>
    </w:p>
    <w:p>
      <w:r>
        <w:rPr>
          <w:color w:val="555555"/>
          <w:sz w:val="18"/>
        </w:rPr>
        <w:t xml:space="preserve">LFBRVG-NRW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1986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t xml:space="preserve">Der Finanzminister</w:t>
      </w:r>
    </w:p>
    <w:p>
      <w:r>
        <w:t xml:space="preserve">Der Innenminister</w:t>
      </w:r>
    </w:p>
    <w:p>
      <w:r>
        <w:t xml:space="preserve">Der Minister für Arbeit,</w:t>
      </w:r>
    </w:p>
    <w:p>
      <w:r>
        <w:t xml:space="preserve">Gesundheit und Soziales</w:t>
      </w:r>
    </w:p>
    <w:p>
      <w:r>
        <w:t xml:space="preserve">Der Minister für Ernährung,</w:t>
      </w:r>
    </w:p>
    <w:p>
      <w:r>
        <w:t xml:space="preserve">Landwirtschaft und Forsten</w:t>
      </w:r>
    </w:p>
    <w:p>
      <w:r>
        <w:rPr>
          <w:color w:val="555555"/>
          <w:sz w:val="17"/>
        </w:rPr>
        <w:t xml:space="preserve">Zitiervorschlag: § 14 NW_27439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https://recht.nulegal.eu/gesetze/NW_27439/14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