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NW_27439 (Nordrhein-Westfalen) — Kommunalbehörden als informationspflichtige Stellen</w:t>
      </w:r>
    </w:p>
    <w:p>
      <w:r>
        <w:rPr>
          <w:color w:val="555555"/>
          <w:sz w:val="18"/>
        </w:rPr>
        <w:t xml:space="preserve">LFBRVG-NRW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Den Gemeinden und Gemeindeverbänden werden für ihren Zuständigkeitsbereich die Aufgaben nach dem Verbraucherinformationsgesetz in der Fassung der Bekanntmachung vom 17. Oktober 2012 (BGBl. I S. 2166, 2725) in der jeweils geltenden Fassung übertragen.</w:t>
      </w:r>
    </w:p>
    <w:p>
      <w:r>
        <w:t xml:space="preserve">(2) Für Amtshandlungen nach dem Verbraucherinformationsgesetz werden kostendeckende Gebühren und Auslagen erhoben.</w:t>
      </w:r>
    </w:p>
    <w:p>
      <w:r>
        <w:rPr>
          <w:color w:val="555555"/>
          <w:sz w:val="17"/>
        </w:rPr>
        <w:t xml:space="preserve">Zitiervorschlag: § 12 NW_27439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https://recht.nulegal.eu/gesetze/NW_27439/12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