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NW_27439 (Nordrhein-Westfalen) — Bußgeldvorschriften</w:t>
      </w:r>
    </w:p>
    <w:p>
      <w:r>
        <w:rPr>
          <w:color w:val="555555"/>
          <w:sz w:val="18"/>
        </w:rPr>
        <w:t xml:space="preserve">LFBRVG-NRW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</w:t>
      </w:r>
    </w:p>
    <w:p>
      <w:r>
        <w:t xml:space="preserve">1. entgegen einer vollziehbaren Anordnung nach § 6 Abs. 2 Pflanzen oder Pflanzenteile zur Herstellung von Lebensmitteln verwendet oder als Lebensmittel in den Verkehr bringt,</w:t>
      </w:r>
    </w:p>
    <w:p>
      <w:r>
        <w:t xml:space="preserve">2. entgegen § 7 Abs. 1 Satz 1 ohne Zulassung zurückgelassene Proben untersucht.</w:t>
      </w:r>
    </w:p>
    <w:p>
      <w:r>
        <w:t xml:space="preserve">(2) Die Ordnungswidrigkeit kann mit einer Geldbuße bis zu fünfzehntausend Euro geahndet werden.</w:t>
      </w:r>
    </w:p>
    <w:p>
      <w:r>
        <w:rPr>
          <w:color w:val="555555"/>
          <w:sz w:val="17"/>
        </w:rPr>
        <w:t xml:space="preserve">Zitiervorschlag: § 11 NW_27439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https://recht.nulegal.eu/gesetze/NW_27439/11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