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NW_27415 (Nordrhein-Westfalen)</w:t>
      </w:r>
    </w:p>
    <w:p>
      <w:r>
        <w:rPr>
          <w:color w:val="555555"/>
          <w:sz w:val="18"/>
        </w:rPr>
        <w:t xml:space="preserve">Verordnung über die Zuständigkeit für die Kostenerstattung nach Schwangerschaftsabbrüchen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Arbeit,</w:t>
      </w:r>
    </w:p>
    <w:p>
      <w:r>
        <w:t xml:space="preserve">Gesundheit und Soziales</w:t>
      </w:r>
    </w:p>
    <w:p>
      <w:r>
        <w:rPr>
          <w:color w:val="555555"/>
          <w:sz w:val="17"/>
        </w:rPr>
        <w:t xml:space="preserve">Zitiervorschlag: § 2 NW_27415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