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NW_27414 (Nordrhein-Westfalen) — Verfolgung und Ahndungvon Ordnungswidrigkeiten</w:t>
      </w:r>
    </w:p>
    <w:p>
      <w:r>
        <w:rPr>
          <w:color w:val="555555"/>
          <w:sz w:val="18"/>
        </w:rPr>
        <w:t xml:space="preserve">Verordnung über Zuständigkeiten bei Schwangerschaftsberatung und -abbruch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die Verfolgung und Ahndung von Ordnungswidrigkeiten nach Artikel 3 Abs. 2 des Fünften Gesetzes zur Reform des Strafrechts wird den Kreisordnungsbehörden übertragen.</w:t>
      </w:r>
    </w:p>
    <w:p>
      <w:r>
        <w:rPr>
          <w:color w:val="555555"/>
          <w:sz w:val="17"/>
        </w:rPr>
        <w:t xml:space="preserve">Zitiervorschlag: § 3 NW_27414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https://recht.nulegal.eu/gesetze/NW_27414/3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