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NW_27413 (Nordrhein-Westfalen)</w:t>
      </w:r>
    </w:p>
    <w:p>
      <w:r>
        <w:rPr>
          <w:color w:val="555555"/>
          <w:sz w:val="18"/>
        </w:rPr>
        <w:t xml:space="preserve">Fn 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nach § 5 Absatz 1 Satz 1, § 9 und § 11 des Namensänderungsgesetzes sind die kreisfreien Städte, Kreise und die Städteregion Aachen.</w:t>
      </w:r>
    </w:p>
    <w:p>
      <w:r>
        <w:t xml:space="preserve">(2) Zuständige Behörde nach § 8 des Namensänderungsgesetzes ist die Bezirksregierung.</w:t>
      </w:r>
    </w:p>
    <w:p>
      <w:r>
        <w:rPr>
          <w:color w:val="555555"/>
          <w:sz w:val="17"/>
        </w:rPr>
        <w:t xml:space="preserve">Zitiervorschlag: § 1 NW_27413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