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NW_27400 (Nordrhein-Westfalen)</w:t>
      </w:r>
    </w:p>
    <w:p>
      <w:r>
        <w:rPr>
          <w:color w:val="555555"/>
          <w:sz w:val="18"/>
        </w:rPr>
        <w:t xml:space="preserve">Bekanntmachung des Abkommens über die Aufgaben und Finanzierung der Wasserschutzpolizei-Schule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Kostenbeiträge der Vertragschließenden werden im Laufe eines jeden Haushaltsjahres in zwei Teilbeträgen zum 1. April und 1. Oktober erhoben. Hierbei sind die Ansätze des Haushaltsplanes zugrunde zu legen. Über- und Minderzahlungen gegenüber dem sich nach der Jahresrechnung ergebenden Finanzbedarf werden bei der ersten Teilrate des folgenden Haushaltsjahres ausgeglichen. Den Vertragschließenden wird hierzu als Beleg gemäß § 75 der Bundeshaushaltsordnung oder den entsprechenden Bestimmungen der Länderhaushaltsordnungen ein Rechnungsnachweis übersandt.</w:t>
      </w:r>
    </w:p>
    <w:p>
      <w:r>
        <w:rPr>
          <w:color w:val="555555"/>
          <w:sz w:val="17"/>
        </w:rPr>
        <w:t xml:space="preserve">Zitiervorschlag: Art 8 NW_27400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https://recht.nulegal.eu/gesetze/NW_27400/8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