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NW_27399 (Nordrhein-Westfalen)</w:t>
      </w:r>
    </w:p>
    <w:p>
      <w:r>
        <w:rPr>
          <w:color w:val="555555"/>
          <w:sz w:val="18"/>
        </w:rPr>
        <w:t xml:space="preserve">Bekanntmachung des Abkommens über die Deutsche Hochschule der Polizei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Kostenbeiträge der Träger werden im Laufe eines jeden Haushaltsjahres in vier Teilbeträgen zum 1. eines jeden Quartals erhoben; hierbei sind die Ansätze des Haushaltsplanes zugrunde zu legen. Über- und Minderzahlungen gegenüber dem sich nach der Jahresrechnung ergebenden Finanzbedarf werden bei der zweiten Teilrate des folgenden Haushaltsjahres ausgeglichen. Dem Bund und den Ländern wird hierzu als Beleg gemäß § 75 der Bundeshaushaltsordnung oder den entsprechenden Bestimmungen der Landeshaushaltsordnungen ein Rechnungsnachweis übersandt.</w:t>
      </w:r>
    </w:p>
    <w:p>
      <w:r>
        <w:rPr>
          <w:color w:val="555555"/>
          <w:sz w:val="17"/>
        </w:rPr>
        <w:t xml:space="preserve">Zitiervorschlag: Art 6 NW_27399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https://recht.nulegal.eu/gesetze/NW_27399/6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