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NW_27388 (Nordrhein-Westfalen) — Behandlung der Wahlvorschläge,ungültige Wahlvorschläge</w:t>
      </w:r>
    </w:p>
    <w:p>
      <w:r>
        <w:rPr>
          <w:color w:val="555555"/>
          <w:sz w:val="18"/>
        </w:rPr>
        <w:t xml:space="preserve">WO-LPVG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Wahlvorstand vermerkt auf den Wahlvorschlägen den Tag des Eingangs. Im Falle des Absatzes 7 ist auch der Zeitpunkt des Eingangs des berichtigten Wahlvorschlags zu vermerken.</w:t>
      </w:r>
    </w:p>
    <w:p>
      <w:r>
        <w:t xml:space="preserve">(2) Wahlvorschläge, die ungültig sind, weil sie nicht die erforderliche Anzahl von Unterschriften aufweisen oder weil sie nicht fristgerecht eingereicht worden sind, gibt der Wahlvorstand unverzüglich unter Angabe der Gründe zurück.</w:t>
      </w:r>
    </w:p>
    <w:p>
      <w:r>
        <w:t xml:space="preserve">(3) Der Wahlvorstand hat einen Bewerber, der mit seiner schriftlichen Zustimmung auf mehreren Wahlvorschlägen benannt ist, aufzufordern, innerhalb von drei Kalendertagen zu erklären, auf welchem Wahlvorschlag er benannt bleiben will. Gibt der Bewerber diese Erklärung nicht fristgerecht ab, so wird er von sämtlichen Wahlvorschlägen gestrichen.</w:t>
      </w:r>
    </w:p>
    <w:p>
      <w:r>
        <w:t xml:space="preserve">(4) Der Wahlvorstand hat auf Wahlvorschlägen die Namen von nicht wählbaren Beschäftigten zu streichen und den zur Vertretung des Vorschlags Berechtigten davon zu unterrichten.</w:t>
      </w:r>
    </w:p>
    <w:p>
      <w:r>
        <w:t xml:space="preserve">(5) Der Wahlvorstand hat auf Wahlvorschlägen Unterschriften nicht wählbarer Beschäftigter zu streichen.</w:t>
      </w:r>
    </w:p>
    <w:p>
      <w:r>
        <w:t xml:space="preserve">(6) Der Wahlvorstand hat einen Beschäftigten, der mehrere Wahlvorschläge unterzeichnet hat, aufzufordern, innerhalb von drei Kalendertagen zu erklären, welche Unterschrift er aufrecht erhält. Gibt der Beschäftigte diese Erklärung nicht fristgerecht ab, zählt seine Unterschrift nur auf dem zuerst eingegangenen Wahlvorschlag; auf den übrigen Wahlvorschlägen wird sie gestrichen. Bei gleichzeitigem Eingang entscheidet das Los, auf welchem Wahlvorschlag die Unterschrift zählt.</w:t>
      </w:r>
    </w:p>
    <w:p>
      <w:r>
        <w:t xml:space="preserve">(7) Wahlvorschläge, die</w:t>
      </w:r>
    </w:p>
    <w:p>
      <w:r>
        <w:t xml:space="preserve">a) den Erfordernissen des § 7 Absatz 2 sowie des § 8 Absatz 3 nicht entsprechen,</w:t>
      </w:r>
    </w:p>
    <w:p>
      <w:r>
        <w:t xml:space="preserve">b) ohne die schriftliche Zustimmung der Bewerber eingereicht sind,</w:t>
      </w:r>
    </w:p>
    <w:p>
      <w:r>
        <w:t xml:space="preserve">c) infolge von Streichungen gemäß Absatz 5 oder 6 nicht mehr die erforderliche Anzahl von Unterschriften aufweisen,</w:t>
      </w:r>
    </w:p>
    <w:p>
      <w:r>
        <w:t xml:space="preserve">hat der Wahlvorstand mit der Aufforderung zurückzugeben, die Mängel innerhalb der Frist gemäß § 7 zu beseitigen; bei Wahlvorschlägen, die weniger als eine Woche vor Ablauf der Frist gemäß § 7 zurückgegeben werden, gilt eine Frist von einer Woche, gerechnet vom Tage der Rückgabe an. Werden die Mängel nicht fristgerecht beseitigt, sind diese Wahlvorschläge ungültig.</w:t>
      </w:r>
    </w:p>
    <w:p>
      <w:r>
        <w:rPr>
          <w:color w:val="555555"/>
          <w:sz w:val="17"/>
        </w:rPr>
        <w:t xml:space="preserve">Zitiervorschlag: § 9 NW_27388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NW_27388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