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NW_27388 (Nordrhein-Westfalen) — Wahlvorschläge, Einreichungsfrist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Wahl des Personalrats können die wahlberechtigten Beschäftigten sowie die in der Dienststelle vertretenen Gewerkschaften und Berufsverbände (§§ 16 Absatz 4 und 110 LPVG) Wahlvorschläge machen.</w:t>
      </w:r>
    </w:p>
    <w:p>
      <w:r>
        <w:t xml:space="preserve">(2) Wahlvorschläge sind innerhalb von drei Wochen nach dem Erlass des Wahlausschreibens beim Wahlvorstand ausschließlich schriftlich einzureichen. Bei Gruppenwahl sind für die einzelnen Gruppen getrennte Wahlvorschläge einzureichen.</w:t>
      </w:r>
    </w:p>
    <w:p>
      <w:r>
        <w:rPr>
          <w:color w:val="555555"/>
          <w:sz w:val="17"/>
        </w:rPr>
        <w:t xml:space="preserve">Zitiervorschlag: § 7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