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NW_27388 (Nordrhein-Westfalen) — Vorabstimmungen</w:t>
      </w:r>
    </w:p>
    <w:p>
      <w:r>
        <w:rPr>
          <w:color w:val="555555"/>
          <w:sz w:val="18"/>
        </w:rPr>
        <w:t xml:space="preserve">WO-LPVG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Ergebnisse der Abstimmungen nach den §§ 15 Abs. 1 und 16 Abs. 2 LPVG werden nur berücksichtigt, wenn sie dem Wahlvorstand innerhalb einer Woche nach der Bekanntgabe seiner Mitglieder vorliegen und ihm glaubhaft gemacht wird, daß sie unter Leitung eines aus mindestens drei wahlberechtigten Beschäftigten bestehenden Abstimmungsvorstands in geheimen und nach Gruppen getrennten Abstimmungen zustande gekommen sind. Dem Abstimmungsvorstand soll ein Mitglied jeder in der Dienststelle vertretenen Gruppe angehören.</w:t>
      </w:r>
    </w:p>
    <w:p>
      <w:r>
        <w:t xml:space="preserve">(2) Der Wahlvorstand hat in der Bekanntgabe seiner Mitglieder auf die in Absatz 1 bezeichnete Frist hinzuweisen.</w:t>
      </w:r>
    </w:p>
    <w:p>
      <w:r>
        <w:rPr>
          <w:color w:val="555555"/>
          <w:sz w:val="17"/>
        </w:rPr>
        <w:t xml:space="preserve">Zitiervorschlag: § 4 NW_27388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