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NW_27388 (Nordrhein-Westfalen) — Durchführung der Wahl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Hauptwahlvorstand kann die Wahlvorstände bei den im Geschäftsbereich nachgeordneten Dienststellen mit Aufgaben gemäß § 30 und § 35 Abs. 1 und 3 betrauen und diese Wahlvorstände beauftragen, seine Bekanntmachungen weiterzuleiten.</w:t>
      </w:r>
    </w:p>
    <w:p>
      <w:r>
        <w:t xml:space="preserve">(2) Die Bezirkswahlvorstände können von den örtlichen Wahlvorständen die zur Weitergabe an den Hauptwahlvorstand erforderlichen Angaben verlangen.</w:t>
      </w:r>
    </w:p>
    <w:p>
      <w:r>
        <w:rPr>
          <w:color w:val="555555"/>
          <w:sz w:val="17"/>
        </w:rPr>
        <w:t xml:space="preserve">Zitiervorschlag: § 38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