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NW_27388 (Nordrhein-Westfalen) — Entsprechende Anwendung derVorschriften über die Wahl desBezirkspersonalrats</w:t>
      </w:r>
    </w:p>
    <w:p>
      <w:r>
        <w:rPr>
          <w:color w:val="555555"/>
          <w:sz w:val="18"/>
        </w:rPr>
        <w:t xml:space="preserve">WO-LPVG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Wahl des Hauptpersonalrats gelten die §§ 28 bis 35 entsprechend, soweit sich aus den §§ 37 und 38 nichts anderes ergibt.</w:t>
      </w:r>
    </w:p>
    <w:p>
      <w:r>
        <w:rPr>
          <w:color w:val="555555"/>
          <w:sz w:val="17"/>
        </w:rPr>
        <w:t xml:space="preserve">Zitiervorschlag: § 36 NW_27388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https://recht.nulegal.eu/gesetze/NW_27388/36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