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NW_27388 (Nordrhein-Westfalen) — Feststellung der Beschäftigtenzahl;Wählerverzeichnis</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örtlichen Wahlvorstände teilen die gemäß § 2 Absatz 1 festgestellten Zahlen unverzüglich ausschließlich schriftlich dem Bezirkswahlvorstand mit.</w:t>
      </w:r>
    </w:p>
    <w:p>
      <w:r>
        <w:t xml:space="preserve">(2) Die Aufstellung der Wählerverzeichnisse und die Behandlung von Einsprüchen ist Aufgabe der örtlichen Wahlvorstände. Sie teilen dem Bezirkswahlvorstand die Zahl der wahlberechtigten Beschäftigten, getrennt nach Gruppen, unverzüglich ausschließlich schriftlich mit. Dabei sind innerhalb der Gruppen die Anteile der Geschlechter festzustellen.</w:t>
      </w:r>
    </w:p>
    <w:p>
      <w:r>
        <w:rPr>
          <w:color w:val="555555"/>
          <w:sz w:val="17"/>
        </w:rPr>
        <w:t xml:space="preserve">Zitiervorschlag: § 30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