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NW_27388 (Nordrhein-Westfalen) — Einsprüche gegen das Wählerverzeichnis</w:t>
      </w:r>
    </w:p>
    <w:p>
      <w:r>
        <w:rPr>
          <w:color w:val="555555"/>
          <w:sz w:val="18"/>
        </w:rPr>
        <w:t xml:space="preserve">WO-LPVG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Jeder Beschäftigte kann beim Wahlvorstand schriftlich oder elektronisch, soweit der Wahlvorstand gemäß § 1b Absatz 3 den elektronischen Zugang eröffnet hat, innerhalb einer Woche nach Auslegung des Wählerverzeichnisses Einspruch gegen die Richtigkeit des Wählerverzeichnisses einlegen.</w:t>
      </w:r>
    </w:p>
    <w:p>
      <w:r>
        <w:t xml:space="preserve">(2) Die Entscheidung über den Einspruch ist dem Beschäftigten unverzüglich, spätestens einen Tag vor Beginn der Stimmabgabe schriftlich oder elektronisch mitzuteilen.</w:t>
      </w:r>
    </w:p>
    <w:p>
      <w:r>
        <w:rPr>
          <w:color w:val="555555"/>
          <w:sz w:val="17"/>
        </w:rPr>
        <w:t xml:space="preserve">Zitiervorschlag: § 3 NW_27388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https://recht.nulegal.eu/gesetze/NW_27388/3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