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1b NW_27388 (Nordrhein-Westfalen) — Elektronische Kommunikation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Bekanntmachungen des Wahlvorstandes sollen zusätzlich zum Aushang auch mittels der nur dienststellenintern zugänglichen Informations- und Kommunikationstechnik erfolgen. In diesem Fall genügt es, die Bekanntmachung an einer geeigneten Stelle in der Hauptdienststelle und, falls davon abweichend, am dienstlichen Sitz des Wahlvorstands auszuhängen; in der elektronischen Fassung der Bekanntmachung ist anzugeben, an welchem Ort der schriftliche Aushang erfolgt. Eine Bekanntmachung ausschließlich als elektronische Fassung ist zulässig, wenn alle Beschäftigten von der Bekanntmachung Kenntnis erlangen können und Vorkehrungen getroffen werden, dass Änderungen der Bekanntmachung nur vom Wahlvorstand vorgenommen werden können.</w:t>
      </w:r>
    </w:p>
    <w:p>
      <w:r>
        <w:t xml:space="preserve">(2) Soweit die schriftliche Form nicht als ausschließliche Schriftform vorgeschrieben ist, kann die Übersendung von Protokollen, Bekanntmachungen und Mitteilungen des Wahlvorstandes sowie von sonstigen Dokumenten im Wahlverfahren auch elektronisch erfolgen.</w:t>
      </w:r>
    </w:p>
    <w:p>
      <w:r>
        <w:t xml:space="preserve">(3) Der Wahlvorstand kann zulassen, dass schriftlich ihm gegenüber abzugebende Erklärungen auch oder ausschließlich elektronisch übersendet werden können. In diesem Fall hat er in der Bekanntmachung nach § 1 Absatz 3 und im Wahlausschreiben darauf hinzuweisen und eine E-Mail-Adresse des Wahlvorstands bekannt zu machen. Die Entscheidung des Wahlvorstands über eine elektronisch eingegangene Erklärung kann vom Wahlvorstand ebenfalls elektronisch übermittelt werden.</w:t>
      </w:r>
    </w:p>
    <w:p>
      <w:r>
        <w:t xml:space="preserve">(4) Für eine elektronische Übersendung innerhalb einer Dienststelle oder zwischen Dienststellen ist die in den Dienststellen üblicherweise genutzte Informations- und Kommunikationstechnik zu nutzen. Der Einhaltung der Voraussetzungen der elektronischen Form im Sinne von § 3a des Verwaltungsverfahrensgesetzes NRW in der Fassung der Bekanntmachung vom 12. November 1999 (GV. NRW. S. 602), das zuletzt durch Artikel 1 des Gesetzes vom 10. Dezember 2024 (GV. NRW. S. 1184) geändert worden ist, in der jeweils geltenden Fassung bedarf es dabei nicht.</w:t>
      </w:r>
    </w:p>
    <w:p>
      <w:r>
        <w:rPr>
          <w:color w:val="555555"/>
          <w:sz w:val="17"/>
        </w:rPr>
        <w:t xml:space="preserve">Zitiervorschlag: § 1b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