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NW_27388 (Nordrhein-Westfalen) — Feststellung des Wahlergebnisses</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Öffnung der Wahlurne vergleicht der Wahlvorstand die Zahl der in der Wahlurne enthaltenen Stimmzettel und Wahlumschläge mit der Zahl der nach dem Wählerverzeichnis abgegebenen Stimmen und prüft die Gültigkeit der Stimmzettel.</w:t>
      </w:r>
    </w:p>
    <w:p>
      <w:r>
        <w:t xml:space="preserve">(2) Der Wahlvorstand zählt</w:t>
      </w:r>
    </w:p>
    <w:p>
      <w:r>
        <w:t xml:space="preserve">a) im Falle der Verhältniswahl die auf jede Vorschlagsliste,</w:t>
      </w:r>
    </w:p>
    <w:p>
      <w:r>
        <w:t xml:space="preserve">b) im Falle der Personenwahl die auf jeden einzelnen Bewerber</w:t>
      </w:r>
    </w:p>
    <w:p>
      <w:r>
        <w:t xml:space="preserve">entfallenen gültigen Stimmzettel.</w:t>
      </w:r>
    </w:p>
    <w:p>
      <w:r>
        <w:t xml:space="preserve">(3) Stimmzettel, über deren Gültigkeit oder Ungültigkeit der Wahlvorstand beschließt, weil sie zu Zweifeln Anlaß geben, sind mit fortlaufender Nummer zu versehen und von den übrigen Stimmzetteln gesondert bei den Wahlunterlagen aufzubewahren.</w:t>
      </w:r>
    </w:p>
    <w:p>
      <w:r>
        <w:rPr>
          <w:color w:val="555555"/>
          <w:sz w:val="17"/>
        </w:rPr>
        <w:t xml:space="preserve">Zitiervorschlag: § 19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