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im Landesdienst beschäftigten Lehrkräfte an Schulen und an Studienseminaren werden Personalvertretungen - getrennt nach Schulformen und besonderen Einrichtungen des Schulwesens - gebildet.</w:t>
      </w:r>
    </w:p>
    <w:p>
      <w:r>
        <w:t xml:space="preserve">(2) Für nicht im Landesdienst beschäftigte Lehrkräfte kann die oberste Dienstbehörde bestimmen, daß getrennte Personalvertretungen entsprechend Absatz 1 gebildet werden. Werden getrennte Personalvertretungen nicht gebildet, bilden die Lehrkräfte der verschiedenen Schulformen je eine Lehrergruppe. Für diese Lehrergruppen gelten die Vorschriften dieses Gesetzes über die Gruppenwahl und die Rechte der Gruppen entsprechend, jedoch findet in den Fällen des § 34 Abs. 2 eine gemeinsame Beratung nicht statt.</w:t>
      </w:r>
    </w:p>
    <w:p>
      <w:r>
        <w:rPr>
          <w:color w:val="555555"/>
          <w:sz w:val="17"/>
        </w:rPr>
        <w:t xml:space="preserve">Zitiervorschlag: § 87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