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80 NW_27385 (Nordrhein-Westfalen)</w:t>
      </w:r>
    </w:p>
    <w:p>
      <w:r>
        <w:rPr>
          <w:color w:val="555555"/>
          <w:sz w:val="18"/>
        </w:rPr>
        <w:t xml:space="preserve">Personalvertretungsgesetz für das Land Nordrhein-Westfalen - Landespersonalvertretungsgesetz - LPVG -</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Für die nach diesem Gesetz zu treffenden Entscheidungen sind bei den Verwaltungsgerichten des ersten und zweiten Rechtszuges Fachkammern (Fachsenate) zu bilden. Die Zuständigkeit einer Fachkammer kann auf die Bezirke anderer Gerichte oder Teile von ihnen erstreckt werden.</w:t>
      </w:r>
    </w:p>
    <w:p>
      <w:r>
        <w:t xml:space="preserve">(2) Die Fachkammer (der Fachsenat) besteht aus einer oder einem Vorsitzenden, weiteren Richterinnen und Richtern und ehrenamtlichen Richterinnen und Richtern. Die ehrenamtlichen Richterinnen und Richter müssen Beschäftigte des Landes, einer Gemeinde, eines Gemeindeverbandes oder einer sonstigen der Aufsicht des Landes unterstehenden Körperschaft, Anstalt oder Stiftung des öffentlichen Rechts sein. Sie werden durch die Landesregierung oder eine von ihr bestimmte Stelle je zur Hälfte auf Vorschlag</w:t>
      </w:r>
    </w:p>
    <w:p>
      <w:r>
        <w:t xml:space="preserve">1. der unter den genannten Beschäftigten vertretenen gewerkschaftlichen Spitzenorganisationen und</w:t>
      </w:r>
    </w:p>
    <w:p>
      <w:r>
        <w:t xml:space="preserve">2. der obersten Landesbehörden</w:t>
      </w:r>
    </w:p>
    <w:p>
      <w:r>
        <w:t xml:space="preserve">berufen. Für die Berufung und Stellung der ehrenamtlichen Richterinnen und Richter und ihre Heranziehung zu den Sitzungen gelten die Vorschriften des Arbeitsgerichtsgesetzes über ehrenamtliche Richterinnen und Richter entsprechend.</w:t>
      </w:r>
    </w:p>
    <w:p>
      <w:r>
        <w:t xml:space="preserve">(3) Die Fachkammer (der Fachsenat) wird tätig in der Besetzung mit einer oder einem Vorsitzenden, zwei weiteren Richterinnen oder Richtern und zwei ehrenamtlichen Richterinnen oder Richtern, von denen je eine oder einer nach Absatz 2 Satz 3 Nummer 1 und 2 berufen worden ist. Die Fachkammer (der Fachsenat) kann im Einverständnis der Beteiligten durch eine Richterin oder einen Richter entscheiden.</w:t>
      </w:r>
    </w:p>
    <w:p>
      <w:r>
        <w:t xml:space="preserve">Zehntes Kapitel</w:t>
      </w:r>
    </w:p>
    <w:p>
      <w:r>
        <w:t xml:space="preserve">Sondervorschriften für besondere Verwaltungszweige</w:t>
      </w:r>
    </w:p>
    <w:p>
      <w:r>
        <w:t xml:space="preserve">und die Behandlung von Verschlußsachen</w:t>
      </w:r>
    </w:p>
    <w:p>
      <w:r>
        <w:t xml:space="preserve">Erster Abschnitt</w:t>
      </w:r>
    </w:p>
    <w:p>
      <w:r>
        <w:t xml:space="preserve">Polizei</w:t>
      </w:r>
    </w:p>
    <w:p>
      <w:r>
        <w:rPr>
          <w:color w:val="555555"/>
          <w:sz w:val="17"/>
        </w:rPr>
        <w:t xml:space="preserve">Zitiervorschlag: § 80 NW_27385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https://recht.nulegal.eu/gesetze/NW_27385/80</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