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bestimmt mit bei ordentlichen Kündigungen durch den Arbeitgeber. § 72 Absatz 1 Satz 2 gilt entsprechend.</w:t>
      </w:r>
    </w:p>
    <w:p>
      <w:r>
        <w:t xml:space="preserve">(2) Der Personalrat ist vor Abmahnungen, bei Kündigungen in der Probezeit, bei außerordentlichen Kündigungen, bei Aufhebungs- oder Beendigungsverträgen und bei Mitteilungen an Auszubildende darüber, dass deren Einstellung nach beendeter Ausbildung nicht beabsichtigt ist, anzuhören. Hierbei sind die Gründe, auf die sich die beabsichtigte Abmahnung oder Kündigung stützen soll, vollständig anzugeben.</w:t>
      </w:r>
    </w:p>
    <w:p>
      <w:r>
        <w:t xml:space="preserve">(3) Eine ohne Beteiligung des Personalrates ausgesprochene Kündigung oder ein ohne Beteiligung des Personalrates geschlossener Aufhebungs- oder Beendigungsvertrag ist unwirksam.</w:t>
      </w:r>
    </w:p>
    <w:p>
      <w:r>
        <w:t xml:space="preserve">(4) Der Personalrat kann vor einer Stellungnahme die betroffene Arbeitnehmerin oder den betroffenen Arbeitnehmer anhören. Erhebt der Personalrat Einwendungen gegen die beabsichtigte Maßnahme oder Vereinbarung, hat er der betroffenen Arbeitnehmerin oder dem betroffenen Arbeitnehmer eine Abschrift seiner Stellungnahme zuzuleiten.</w:t>
      </w:r>
    </w:p>
    <w:p>
      <w:r>
        <w:t xml:space="preserve">(5) Stimmt der Personalrat einer beabsichtigten ordentlichen Kündigung nicht zu, gilt § 66 Absatz 2 und 3 sinngemäß. Das weitere Verfahren regelt sich nach § 66 Absatz 5 und Absatz 7 Satz 1 und 2.</w:t>
      </w:r>
    </w:p>
    <w:p>
      <w:r>
        <w:t xml:space="preserve">(6) Hat der Personalrat gegen eine beabsichtigte Kündigung in der Probezeit oder gegen eine außerordentliche Kündigung Einwendungen, gibt er diese binnen drei Arbeitstagen der Dienststelle schriftlich zur Kenntnis. Absatz 4 gilt entsprechend.</w:t>
      </w:r>
    </w:p>
    <w:p>
      <w:r>
        <w:t xml:space="preserve">(7) Will der Personalrat gegen einen Aufhebungs- oder Beendigungsvertrag Einwände erheben, gibt er diese binnen einer Woche schriftlich der Dienststelle zur Kenntnis. Absatz 4 gilt entsprechend.</w:t>
      </w:r>
    </w:p>
    <w:p>
      <w:r>
        <w:t xml:space="preserve">(8) Bei Initiativanträgen des Personalrats gilt § 66 Absatz 4 und 6 entsprechend.</w:t>
      </w:r>
    </w:p>
    <w:p>
      <w:r>
        <w:rPr>
          <w:color w:val="555555"/>
          <w:sz w:val="17"/>
        </w:rPr>
        <w:t xml:space="preserve">Zitiervorschlag: § 74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