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Landesverwaltung werden für den Geschäftsbereich mehrstufiger Verwaltungen, in denen Stufenvertretungen bestehen, bei den Mittelbehörden Bezirksjugend- und Auszubildendenvertretungen und bei den obersten Landesbehörden Hauptjugend- und Auszubildendenvertretungen gebildet. Für sie gelten § 50 Abs. 2 und 4, §§ 55, 56, 58 und 61 entsprechend, ferner § 57 mit der Maßgabe, daß die Einrichtung von Sprechstunden entfällt. Die Jugend- und Auszubildendenstufenvertretung hat höchstens fünf Mitglieder.</w:t>
      </w:r>
    </w:p>
    <w:p>
      <w:r>
        <w:t xml:space="preserve">(2) Bestehen in Fällen des § 1 Abs. 3 mehrere Jugend- und Auszubildendenvertretungen, so ist neben diesen eine Gesamtjugend- und Auszubildendenvertretung zu errichten. Für sie gilt Absatz 1 Satz 2 und 3 entsprechend.</w:t>
      </w:r>
    </w:p>
    <w:p>
      <w:r>
        <w:rPr>
          <w:color w:val="555555"/>
          <w:sz w:val="17"/>
        </w:rPr>
        <w:t xml:space="preserve">Zitiervorschlag: § 60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