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sind alle jugendlichen Beschäftigten, die das 18. Lebensjahr noch nicht vollendet haben, sowie Auszubildende, Beamtenanwärterinnen und Beamtenanwärter und Praktikantinnen und Praktikanten. § 10 Abs. 2 bis 4 gilt entsprechend.</w:t>
      </w:r>
    </w:p>
    <w:p>
      <w:r>
        <w:t xml:space="preserve">(2) Wählbar sind Beschäftigte, die am Wahltag noch nicht das 27. Lebensjahr vollendet haben, sowie Auszubildende, Beamtenanwärterinnen und Beamtenanwärter und Praktikantinnen und Praktikanten. §§ 11 und 12 gelten entsprechend.</w:t>
      </w:r>
    </w:p>
    <w:p>
      <w:r>
        <w:rPr>
          <w:color w:val="555555"/>
          <w:sz w:val="17"/>
        </w:rPr>
        <w:t xml:space="preserve">Zitiervorschlag: § 55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