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Wahl, die Amtszeit und die Geschäftsführung des Gesamtpersonalrats sowie für die Rechtsstellung seiner Mitglieder gelten § 50 Abs. 2 bis 5 und § 51 entsprechend.</w:t>
      </w:r>
    </w:p>
    <w:p>
      <w:r>
        <w:t xml:space="preserve">Siebtes Kapitel</w:t>
      </w:r>
    </w:p>
    <w:p>
      <w:r>
        <w:t xml:space="preserve">Jugend- und Auszubildendenvertretung</w:t>
      </w:r>
    </w:p>
    <w:p>
      <w:r>
        <w:rPr>
          <w:color w:val="555555"/>
          <w:sz w:val="17"/>
        </w:rPr>
        <w:t xml:space="preserve">Zitiervorschlag: § 53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NW_27385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