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Personalversammlung besteht aus den Beschäftigten der Dienststelle. Sie wird von der vorsitzenden Person des Personalrats geleitet. Sie ist nicht öffentlich.</w:t>
      </w:r>
    </w:p>
    <w:p>
      <w:r>
        <w:t xml:space="preserve">(2) Kann nach den dienstlichen Verhältnissen eine gemeinsame Versammlung aller Beschäftigten nicht stattfinden, so sind Teilversammlungen abzuhalten. Das gleiche gilt, wenn dies zur Erörterung der besonderen Belange eines Teils der Beschäftigten erforderlich ist.</w:t>
      </w:r>
    </w:p>
    <w:p>
      <w:r>
        <w:t xml:space="preserve">(3) Der Personalrat kann die Personalversammlung oder die Teilversammlung im Einvernehmen mit der Leiterin oder dem Leiter der Dienststelle mittels Videokonferenz in digitaler Form oder hybrid durchführen sowie in Nebenstellen oder Teile der Dienststelle übertragen. § 31 Absatz 3 Satz 2 Nummer 1 und 3 sowie Satz 3 gilt entsprechend.</w:t>
      </w:r>
    </w:p>
    <w:p>
      <w:r>
        <w:rPr>
          <w:color w:val="555555"/>
          <w:sz w:val="17"/>
        </w:rPr>
        <w:t xml:space="preserve">Zitiervorschlag: § 45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