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Versetzung, Abordnung, Umsetzung nach § 72 Absatz 1 Satz 1 Nummer 5, Zuweisung oder Gestellung darf gegen den Willen des Mitglieds des Personalrats nur erfolgen, wenn dies auch unter Berücksichtigung der Mitgliedschaft im Personalrat aus wichtigen dienstlichen Gründen unvermeidbar ist, und der Personalrat, dem das Mitglied angehört, zustimmt. Dies gilt entsprechend für Ersatzmitglieder, solange sie gemäß § 28 Abs. 1 in den Personalrat eingetreten sind.</w:t>
      </w:r>
    </w:p>
    <w:p>
      <w:r>
        <w:t xml:space="preserve">(2) Die außerordentliche Kündigung von Mitgliedern des Personalrats, die in einem Arbeitsverhältnis stehen, bedarf der Zustimmung des Personalrats. Verweigert der Personalrat seine Zustimmung oder äußert er sich nicht innerhalb von drei Arbeitstagen nach Eingang des Antrags, so kann das Verwaltungsgericht sie auf Antrag der Dienststelle ersetzen, wenn die außerordentliche Kündigung unter Berücksichtigung aller Umstände gerechtfertigt ist. In dem Verfahren vor dem Verwaltungsgericht ist die betroffene Arbeitnehmerin oder der betroffene Arbeitnehmer Beteiligte oder Beteiligter.</w:t>
      </w:r>
    </w:p>
    <w:p>
      <w:r>
        <w:t xml:space="preserve">Drittes Kapitel</w:t>
      </w:r>
    </w:p>
    <w:p>
      <w:r>
        <w:t xml:space="preserve">Personalkommission</w:t>
      </w:r>
    </w:p>
    <w:p>
      <w:r>
        <w:rPr>
          <w:color w:val="555555"/>
          <w:sz w:val="17"/>
        </w:rPr>
        <w:t xml:space="preserve">Zitiervorschlag: § 43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