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Personalrat darf für seine Zwecke von den Beschäftigten keine Beiträge erheben oder annehmen.</w:t>
      </w:r>
    </w:p>
    <w:p>
      <w:r>
        <w:t xml:space="preserve">Vierter Abschnitt</w:t>
      </w:r>
    </w:p>
    <w:p>
      <w:r>
        <w:t xml:space="preserve">Rechtsstellung der Mitglieder</w:t>
      </w:r>
    </w:p>
    <w:p>
      <w:r>
        <w:rPr>
          <w:color w:val="555555"/>
          <w:sz w:val="17"/>
        </w:rPr>
        <w:t xml:space="preserve">Zitiervorschlag: § 41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