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durch die Tätigkeit des Personalrats entstehenden Kosten trägt die Dienststelle. Reisen, die zur Erfüllung von Aufgaben des Personalrats notwendig sind, sind der Dienststelle rechtzeitig vorher anzuzeigen. Mitglieder des Personalrats erhalten bei solchen Reisen Reisekostenvergütungen nach dem Landesreisekostengesetz. Bei Fahrten zu der Stelle, bei der der Personalrat gebildet worden ist, und bei Fahrten zu regelmäßigen Sitzungen bei einer anderen Stelle und täglicher Rückkehr zum Wohnort finden die Bestimmungen des Trennungsentschädigungsrechts keine Anwendung. Dienststelle und Personalrat können sich im Rahmen eines Budgets über die voraussichtlich anfallenden notwendigen Kosten verständigen; der Personalrat entscheidet im Rahmen des Budgets eigenverantwortlich.</w:t>
      </w:r>
    </w:p>
    <w:p>
      <w:r>
        <w:t xml:space="preserve">(2) Zur Deckung der dem Personalrat als Aufwand entstehenden Kosten sind ihm Haushaltsmittel zur Verfügung zu stellen. Ihre Höhe ist unter Berücksichtigung der Zahl der in der Regel vorhandenen Beschäftigten zu bemessen; sie wird durch Rechtsverordnung der Landesregierung festgesetzt. Über die Verwendung der Mittel beschließt der Personalrat. Er hat sie auf Verlangen gegenüber der für die Rechnungsprüfung zuständigen Stelle nachzuweisen.</w:t>
      </w:r>
    </w:p>
    <w:p>
      <w:r>
        <w:t xml:space="preserve">(3) Für die Sitzungen, die Sprechstunden und die laufende Geschäftsführung hat die Dienststelle im erforderlichen Umfang Räume, den Geschäftsbedarf und Büropersonal zur Verfügung zu stellen.</w:t>
      </w:r>
    </w:p>
    <w:p>
      <w:r>
        <w:t xml:space="preserve">(4) Der Personalrat ist im Rahmen seiner Aufgaben nach diesem Gesetz berechtigt, die Beschäftigten über Angelegenheiten, die sie unmittelbar betreffen, schriftlich oder elektronisch zu unterrichten. Ihm sind in allen Dienststellen geeignete Plätze für Bekanntmachungen zur Verfügung zu stellen und die Möglichkeit einer elektronischen Bekanntmachung zu eröffnen.</w:t>
      </w:r>
    </w:p>
    <w:p>
      <w:r>
        <w:rPr>
          <w:color w:val="555555"/>
          <w:sz w:val="17"/>
        </w:rPr>
        <w:t xml:space="preserve">Zitiervorschlag: § 40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