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Mitgliedschaft einer Beamtin oder eines Beamten im Personalrat ruht, solange ihr oder ihm die Führung der Dienstgeschäfte verboten oder sie oder er wegen eines gegen sie oder ihn schwebenden Disziplinarverfahrens vorläufig des Dienstes enthoben ist.</w:t>
      </w:r>
    </w:p>
    <w:p>
      <w:r>
        <w:t xml:space="preserve">(2) In den Fällen des § 26 Abs. 1 Buchstaben d und e ruht die Mitgliedschaft im Personalrat bis zur Rechtskraft der Entscheidung.</w:t>
      </w:r>
    </w:p>
    <w:p>
      <w:r>
        <w:rPr>
          <w:color w:val="555555"/>
          <w:sz w:val="17"/>
        </w:rPr>
        <w:t xml:space="preserve">Zitiervorschlag: § 27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