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Mitgliedschaft im Personalrat erlischt durch</w:t>
      </w:r>
    </w:p>
    <w:p>
      <w:r>
        <w:t xml:space="preserve">a) Ablauf der Amtszeit,</w:t>
      </w:r>
    </w:p>
    <w:p>
      <w:r>
        <w:t xml:space="preserve">b) erfolgreiche Anfechtung der Wahl,</w:t>
      </w:r>
    </w:p>
    <w:p>
      <w:r>
        <w:t xml:space="preserve">c) Niederlegung des Amtes,</w:t>
      </w:r>
    </w:p>
    <w:p>
      <w:r>
        <w:t xml:space="preserve">d) Beendigung des Dienstverhältnisses,</w:t>
      </w:r>
    </w:p>
    <w:p>
      <w:r>
        <w:t xml:space="preserve">e) Ausscheiden aus der Dienststelle,</w:t>
      </w:r>
    </w:p>
    <w:p>
      <w:r>
        <w:t xml:space="preserve">f) Verlust der Wählbarkeit, außer, die Abwesenheit beruht auf Elternzeit,</w:t>
      </w:r>
    </w:p>
    <w:p>
      <w:r>
        <w:t xml:space="preserve">g) gerichtliche Entscheidung nach § 25 Abs. 1,</w:t>
      </w:r>
    </w:p>
    <w:p>
      <w:r>
        <w:t xml:space="preserve">h) Feststellung nach Ablauf der in § 22 Abs. 1 bezeichneten Frist, daß die oder der Gewählte nicht wählbar war.</w:t>
      </w:r>
    </w:p>
    <w:p>
      <w:r>
        <w:t xml:space="preserve">(2) Die Mitgliedschaft im Personalrat erlischt ferner, wenn eine Beurlaubung ohne Besoldung oder Arbeitsentgelt während der Amtszeit des Personalrats länger als sechs Monate andauert, außer in den Fällen von Elternzeit.</w:t>
      </w:r>
    </w:p>
    <w:p>
      <w:r>
        <w:t xml:space="preserve">(3) Die Mitgliedschaft im Personalrat wird durch einen Wechsel der Gruppenzugehörigkeit eines Mitglieds nicht berührt; dieses bleibt Mitglied der Gruppe, für die es gewählt wurde.</w:t>
      </w:r>
    </w:p>
    <w:p>
      <w:r>
        <w:rPr>
          <w:color w:val="555555"/>
          <w:sz w:val="17"/>
        </w:rPr>
        <w:t xml:space="preserve">Zitiervorschlag: § 26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