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NW_27385 (Nordrhein-Westfalen)</w:t>
      </w:r>
    </w:p>
    <w:p>
      <w:r>
        <w:rPr>
          <w:color w:val="555555"/>
          <w:sz w:val="18"/>
        </w:rPr>
        <w:t xml:space="preserve">Personalvertretungsgesetz für das Land Nordrhein-Westfalen - Landespersonalvertretungsgesetz - LPVG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Personalrat ist neu zu wählen, wenn</w:t>
      </w:r>
    </w:p>
    <w:p>
      <w:r>
        <w:t xml:space="preserve">a) mit Ablauf von vierundzwanzig Monaten nach dem Tage der Wahl die Zahl der regelmäßig Beschäftigten um die Hälfte, mindestens aber um 50 gestiegen oder gesunken istoder</w:t>
      </w:r>
    </w:p>
    <w:p>
      <w:r>
        <w:t xml:space="preserve">b) die Gesamtzahl der Mitglieder des Personalrats auch nach Eintreten sämtlicher Ersatzmitglieder um mehr als ein Viertel der vorgeschriebenen Zahl gesunken ist oder</w:t>
      </w:r>
    </w:p>
    <w:p>
      <w:r>
        <w:t xml:space="preserve">c) der Personalrat mit der Mehrheit seiner Mitglieder seinen Rücktritt beschlossen hat oder</w:t>
      </w:r>
    </w:p>
    <w:p>
      <w:r>
        <w:t xml:space="preserve">d) die Wahl des Personalrats mit Erfolg angefochten worden ist oder</w:t>
      </w:r>
    </w:p>
    <w:p>
      <w:r>
        <w:t xml:space="preserve">e) der Personalrat durch gerichtliche Entscheidung aufgelöst worden ist.</w:t>
      </w:r>
    </w:p>
    <w:p>
      <w:r>
        <w:t xml:space="preserve">Satz 1 Buchstabe b gilt nicht, wenn es sich bei den dort bezeichneten Mitgliedern des Personalrats ausschließlich um Mitglieder einer Gruppe handelt.</w:t>
      </w:r>
    </w:p>
    <w:p>
      <w:r>
        <w:t xml:space="preserve">(2) In den Fällen des Absatzes 1 Buchstabe a bis c führt der Personalrat die Geschäfte weiter, bis der neue Personalrat zu seiner ersten Sitzung zusammengetreten ist.</w:t>
      </w:r>
    </w:p>
    <w:p>
      <w:r>
        <w:t xml:space="preserve">(3) Die Mitglieder einer Gruppe sind neu zu wählen, wenn die Gesamtzahl der Mitglieder dieser Gruppe auch nach Eintreten sämtlicher Ersatzmitglieder um mehr als ein Viertel der vorgeschriebenen Zahl gesunken ist. Absatz 2 gilt entsprechend.</w:t>
      </w:r>
    </w:p>
    <w:p>
      <w:r>
        <w:rPr>
          <w:color w:val="555555"/>
          <w:sz w:val="17"/>
        </w:rPr>
        <w:t xml:space="preserve">Zitiervorschlag: § 24 NW_27385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https://recht.nulegal.eu/gesetze/NW_27385/24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