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Amtszeit des Personalrats beginnt und endet mit der jeweiligen Wahlperiode. Sie beträgt vier Jahre. Für die Personalvertretungen, die für die bis zum 30.06.2020 laufende Wahlperiode gewählt wurden, wird die Amtszeit über den 30.06.2020 hinaus verlängert bis zur Wahl einer neuen Personalvertretung, längstens bis zum 30.06.2021. § 23 Absatz 2 Satz 1 findet für diese Personalräte Anwendung.</w:t>
      </w:r>
    </w:p>
    <w:p>
      <w:r>
        <w:t xml:space="preserve">(2) Wird ein Personalrat während einer Wahlperiode gewählt, so beginnt seine Amtszeit mit dem Tage der Wahl. Sie endet mit Ablauf der laufenden Wahlperiode, wenn bis dahin mehr als ein Jahr verstrichen ist, sonst mit Ablauf der folgenden Wahlperiode. Entsprechendes gilt für die Gruppe, wenn die Mitglieder einer Gruppe während einer Wahlperiode neu gewählt werden.</w:t>
      </w:r>
    </w:p>
    <w:p>
      <w:r>
        <w:t xml:space="preserve">(3) Nach Ablauf der Amtszeit des bisherigen Personalrats führt dieser die Geschäfte weiter, bis der neue Personalrat zu seiner ersten Sitzung zusammengetreten ist.</w:t>
      </w:r>
    </w:p>
    <w:p>
      <w:r>
        <w:rPr>
          <w:color w:val="555555"/>
          <w:sz w:val="17"/>
        </w:rPr>
        <w:t xml:space="preserve">Zitiervorschlag: § 23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