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Niemand darf die Wahl des Personalrats behindern oder in einer gegen die guten Sitten verstoßenden Weise beeinflussen. Insbesondere darf keine wahlberechtigte Person in der Ausübung des aktiven und passiven Wahlrechts beschränkt werden. § 43 gilt für Mitglieder des Wahlvorstands und für Wahlbewerberinnen und Wahlbewerber entsprechend.</w:t>
      </w:r>
    </w:p>
    <w:p>
      <w:r>
        <w:t xml:space="preserve">(2) Die Kosten der Wahl trägt die Dienststelle. Notwendige Versäumnis von Arbeitszeit infolge der Ausübung des Wahlrechts, der Teilnahme an den in § 17 Abs. 2 und in den §§ 18 und 20 Abs. 1 genannten Personalversammlungen oder der Betätigung im Wahlvorstand hat keine Minderung der Bezüge oder des Arbeitsentgelts zur Folge. Für die Mitglieder des Wahlvorstands gelten § 40 Abs. 1 Satz 2 und 3 sowie § 42 Abs. 2 Satz 2 und Abs. 5 entsprechend.</w:t>
      </w:r>
    </w:p>
    <w:p>
      <w:r>
        <w:rPr>
          <w:color w:val="555555"/>
          <w:sz w:val="17"/>
        </w:rPr>
        <w:t xml:space="preserve">Zitiervorschlag: § 21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