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NW_27385 (Nordrhein-Westfalen)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Spätestens drei Monate vor Ablauf der Amtszeit bestellt der Personalrat drei wahlberechtigte Beschäftigte als Wahlvorstand und eine oder einen von ihnen als vorsitzende Person. Sind in der Dienststelle Angehörige verschiedener Gruppen beschäftigt, so soll jede Gruppe im Wahlvorstand vertreten sein. Hat die Dienststelle weibliche und männliche Beschäftigte, sollen dem Wahlvorstand Frauen und Männer angehören. Für jedes Mitglied des Wahlvorstandes kann ein Ersatzmitglied benannt werden.</w:t>
      </w:r>
    </w:p>
    <w:p>
      <w:r>
        <w:t xml:space="preserve">(2) Besteht zwei Monate vor Ablauf der Amtszeit des Personalrats kein Wahlvorstand, so beruft die Dienststelle auf Antrag von mindestens drei wahlberechtigten Beschäftigten oder einer in der Dienststelle vertretenen Gewerkschaft eine Personalversammlung zur Wahl des Wahlvorstandes ein. Absatz 1 Satz 2 und 3 gilt entsprechend. Die Personalversammlung wählt eine Person als Versammlungsleitung.</w:t>
      </w:r>
    </w:p>
    <w:p>
      <w:r>
        <w:rPr>
          <w:color w:val="555555"/>
          <w:sz w:val="17"/>
        </w:rPr>
        <w:t xml:space="preserve">Zitiervorschlag: § 17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