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113 NW_27385 (Nordrhein-Westfalen)</w:t>
      </w:r>
    </w:p>
    <w:p>
      <w:r>
        <w:rPr>
          <w:color w:val="555555"/>
          <w:sz w:val="18"/>
        </w:rPr>
        <w:t xml:space="preserve">Personalvertretungsgesetz für das Land Nordrhein-Westfalen - Landespersonalvertretungsgesetz - LPVG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Regelungen über den Vorsitz gemäß § 29 und über die Freistellung gemäß § 42 Absatz 4 finden erstmals bei Neuwahlen Anwendung.</w:t>
      </w:r>
    </w:p>
    <w:p>
      <w:r>
        <w:t xml:space="preserve">(2) § 1 Abs. 3, 2. Halbsatz findet für die Vertretung des Landes Nordrhein-Westfalen beim Bund keine Anwendung.</w:t>
      </w:r>
    </w:p>
    <w:p>
      <w:r>
        <w:rPr>
          <w:color w:val="555555"/>
          <w:sz w:val="17"/>
        </w:rPr>
        <w:t xml:space="preserve">Zitiervorschlag: § 113 NW_27385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https://recht.nulegal.eu/gesetze/NW_27385/113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