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109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Regelung der nach den §§ 10 bis 22, 50, 53, 55 bis 57, 60, 97, 98 und 105 erforderlichen Wahlen erlässt die Landesregierung durch Rechtsverordnung Vorschriften über</w:t>
      </w:r>
    </w:p>
    <w:p>
      <w:r>
        <w:t xml:space="preserve">a) die Vorbereitung der Wahl, insbesondere die Aufstellung der Wählerlisten und die Berechnung der Vertreterzahl,</w:t>
      </w:r>
    </w:p>
    <w:p>
      <w:r>
        <w:t xml:space="preserve">b) die Frist für die Einsichtnahme in die Wählerlisten und die Erhebung von Einsprüchen,</w:t>
      </w:r>
    </w:p>
    <w:p>
      <w:r>
        <w:t xml:space="preserve">c) die Wahlvorschlagslisten und die Frist für ihre Einreichung,</w:t>
      </w:r>
    </w:p>
    <w:p>
      <w:r>
        <w:t xml:space="preserve">d) das Wahlausschreiben und die Fristen für seine Bekanntmachung,</w:t>
      </w:r>
    </w:p>
    <w:p>
      <w:r>
        <w:t xml:space="preserve">e) die Stimmabgabe,</w:t>
      </w:r>
    </w:p>
    <w:p>
      <w:r>
        <w:t xml:space="preserve">f) die Feststellung des Wahlergebnisses und die Fristen für seine Bekanntmachung,</w:t>
      </w:r>
    </w:p>
    <w:p>
      <w:r>
        <w:t xml:space="preserve">g) die Aufbewahrung der Wahlakten.</w:t>
      </w:r>
    </w:p>
    <w:p>
      <w:r>
        <w:rPr>
          <w:color w:val="555555"/>
          <w:sz w:val="17"/>
        </w:rPr>
        <w:t xml:space="preserve">Zitiervorschlag: § 109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https://recht.nulegal.eu/gesetze/NW_27385/109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