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NW_27347 (Nordrhein-Westfalen)</w:t>
      </w:r>
    </w:p>
    <w:p>
      <w:r>
        <w:rPr>
          <w:color w:val="555555"/>
          <w:sz w:val="18"/>
        </w:rPr>
        <w:t xml:space="preserve">Verordnung zur Übertragung von Befugnissen auf dem Gebiet des Reisekostenrechts für den Geschäftsbereich des Kultusministers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Diese Verordnung tritt am Tage nach der Verkündung in Kraft.</w:t>
      </w:r>
    </w:p>
    <w:p>
      <w:r>
        <w:t xml:space="preserve">Der Kultusminister</w:t>
      </w:r>
    </w:p>
    <w:p>
      <w:r>
        <w:t xml:space="preserve">des Landes Nordrhein-Westfalen</w:t>
      </w:r>
    </w:p>
    <w:p>
      <w:r>
        <w:rPr>
          <w:color w:val="555555"/>
          <w:sz w:val="17"/>
        </w:rPr>
        <w:t xml:space="preserve">Zitiervorschlag: § 2 NW_27347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https://recht.nulegal.eu/gesetze/NW_27347/2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